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00" w:rsidRPr="005A48CE" w:rsidRDefault="00ED0331" w:rsidP="003B6900">
      <w:pPr>
        <w:jc w:val="center"/>
        <w:rPr>
          <w:rFonts w:asciiTheme="minorHAnsi" w:hAnsiTheme="minorHAnsi"/>
          <w:b/>
          <w:sz w:val="28"/>
          <w:szCs w:val="28"/>
        </w:rPr>
      </w:pPr>
      <w:r w:rsidRPr="00B32C79">
        <w:rPr>
          <w:rFonts w:ascii="Univers 57 Condensed" w:hAnsi="Univers 57 Condensed"/>
          <w:color w:val="5F3D80"/>
        </w:rPr>
        <w:t xml:space="preserve"> </w:t>
      </w:r>
      <w:r w:rsidR="003B6900" w:rsidRPr="005A48CE">
        <w:rPr>
          <w:rFonts w:asciiTheme="minorHAnsi" w:hAnsiTheme="minorHAnsi"/>
          <w:b/>
          <w:sz w:val="32"/>
          <w:szCs w:val="28"/>
        </w:rPr>
        <w:t>Les 12 et 13 juin 2017</w:t>
      </w:r>
    </w:p>
    <w:p w:rsidR="003B6900" w:rsidRPr="005A48CE" w:rsidRDefault="003B6900"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sz w:val="28"/>
          <w:szCs w:val="28"/>
        </w:rPr>
      </w:pPr>
      <w:r w:rsidRPr="005A48CE">
        <w:rPr>
          <w:rFonts w:asciiTheme="minorHAnsi" w:hAnsiTheme="minorHAnsi"/>
          <w:sz w:val="28"/>
          <w:szCs w:val="28"/>
        </w:rPr>
        <w:t>L’ANDASS, le CNFPT, ESN,  la CNSA, la CNAPE, l’ONPE, l’AFCCRE et l’UNIOPSS  organisent le séminaire :</w:t>
      </w:r>
    </w:p>
    <w:p w:rsidR="003B6900" w:rsidRPr="005A48CE" w:rsidRDefault="003B6900"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sz w:val="28"/>
          <w:szCs w:val="28"/>
        </w:rPr>
      </w:pPr>
    </w:p>
    <w:p w:rsidR="003B6900" w:rsidRPr="005A48CE" w:rsidRDefault="003B6900" w:rsidP="005A48CE">
      <w:pPr>
        <w:pBdr>
          <w:top w:val="single" w:sz="4" w:space="1" w:color="auto"/>
          <w:left w:val="single" w:sz="4" w:space="4" w:color="auto"/>
          <w:bottom w:val="single" w:sz="4" w:space="1" w:color="auto"/>
          <w:right w:val="single" w:sz="4" w:space="4" w:color="auto"/>
        </w:pBdr>
        <w:jc w:val="center"/>
        <w:rPr>
          <w:rFonts w:asciiTheme="minorHAnsi" w:hAnsiTheme="minorHAnsi"/>
          <w:b/>
          <w:bCs/>
          <w:sz w:val="32"/>
          <w:szCs w:val="32"/>
        </w:rPr>
      </w:pPr>
      <w:r w:rsidRPr="005A48CE">
        <w:rPr>
          <w:rFonts w:asciiTheme="minorHAnsi" w:hAnsiTheme="minorHAnsi"/>
          <w:b/>
          <w:bCs/>
          <w:sz w:val="32"/>
          <w:szCs w:val="32"/>
        </w:rPr>
        <w:t>Accompagner les personnes dans leur choix de vie</w:t>
      </w:r>
    </w:p>
    <w:p w:rsidR="003B6900" w:rsidRPr="005A48CE" w:rsidRDefault="003B6900" w:rsidP="005A48CE">
      <w:pPr>
        <w:pBdr>
          <w:top w:val="single" w:sz="4" w:space="1" w:color="auto"/>
          <w:left w:val="single" w:sz="4" w:space="4" w:color="auto"/>
          <w:bottom w:val="single" w:sz="4" w:space="1" w:color="auto"/>
          <w:right w:val="single" w:sz="4" w:space="4" w:color="auto"/>
        </w:pBdr>
        <w:jc w:val="center"/>
        <w:rPr>
          <w:rFonts w:asciiTheme="minorHAnsi" w:hAnsiTheme="minorHAnsi"/>
          <w:sz w:val="28"/>
          <w:szCs w:val="28"/>
        </w:rPr>
      </w:pPr>
      <w:r w:rsidRPr="005A48CE">
        <w:rPr>
          <w:rFonts w:asciiTheme="minorHAnsi" w:hAnsiTheme="minorHAnsi"/>
          <w:sz w:val="28"/>
          <w:szCs w:val="28"/>
        </w:rPr>
        <w:t>De la vie en institution à la vie dans la cité : une transition en question(s)</w:t>
      </w:r>
    </w:p>
    <w:p w:rsidR="003B6900" w:rsidRPr="005A48CE" w:rsidRDefault="003B6900"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i/>
          <w:szCs w:val="24"/>
        </w:rPr>
      </w:pPr>
    </w:p>
    <w:p w:rsidR="00ED0331" w:rsidRPr="005A48CE" w:rsidRDefault="003B6900" w:rsidP="003B6900">
      <w:pPr>
        <w:jc w:val="center"/>
        <w:rPr>
          <w:rFonts w:asciiTheme="minorHAnsi" w:hAnsiTheme="minorHAnsi"/>
          <w:i/>
          <w:szCs w:val="24"/>
        </w:rPr>
      </w:pPr>
      <w:r w:rsidRPr="005A48CE">
        <w:rPr>
          <w:rFonts w:asciiTheme="minorHAnsi" w:hAnsiTheme="minorHAnsi"/>
          <w:i/>
          <w:szCs w:val="24"/>
        </w:rPr>
        <w:t>La question se pose aujourd’hui de l'accompagnement des parcours des personnes  afin de favoriser au mieux leur choix de vie. Ce mouvement ne va pas de soi en France. L’éclairage européen est indispensable pour échanger sur les pratiques, certes, mais aussi pour se décentrer et remettre en perspective les enjeux pour les personnes accompagnées. Le séminaire que nous vous proposons a vocation à définir les enjeux et les pistes d’évolution des politiques sociales et médico-sociales pour accompagner ces changements.</w:t>
      </w:r>
    </w:p>
    <w:p w:rsidR="003B6900" w:rsidRPr="005A48CE" w:rsidRDefault="003B6900" w:rsidP="003B6900">
      <w:pPr>
        <w:rPr>
          <w:rFonts w:asciiTheme="minorHAnsi" w:hAnsiTheme="minorHAnsi"/>
          <w:i/>
          <w:szCs w:val="24"/>
        </w:rPr>
      </w:pPr>
    </w:p>
    <w:p w:rsidR="003B6900" w:rsidRPr="005A48CE" w:rsidRDefault="003B6900" w:rsidP="003B6900">
      <w:pPr>
        <w:jc w:val="center"/>
        <w:rPr>
          <w:rFonts w:asciiTheme="minorHAnsi" w:hAnsiTheme="minorHAnsi"/>
          <w:sz w:val="28"/>
          <w:szCs w:val="28"/>
        </w:rPr>
      </w:pPr>
    </w:p>
    <w:p w:rsidR="003B6900" w:rsidRDefault="003B6900" w:rsidP="003B6900">
      <w:pPr>
        <w:jc w:val="center"/>
        <w:rPr>
          <w:rFonts w:asciiTheme="minorHAnsi" w:hAnsiTheme="minorHAnsi"/>
          <w:sz w:val="28"/>
          <w:szCs w:val="28"/>
        </w:rPr>
      </w:pPr>
    </w:p>
    <w:p w:rsidR="00913689" w:rsidRPr="005A48CE" w:rsidRDefault="00913689"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sz w:val="28"/>
          <w:szCs w:val="28"/>
        </w:rPr>
      </w:pPr>
      <w:r w:rsidRPr="005A48CE">
        <w:rPr>
          <w:rFonts w:asciiTheme="minorHAnsi" w:hAnsiTheme="minorHAnsi"/>
          <w:sz w:val="28"/>
          <w:szCs w:val="28"/>
        </w:rPr>
        <w:t>Programme :</w:t>
      </w:r>
    </w:p>
    <w:p w:rsidR="003B6900" w:rsidRDefault="003B6900" w:rsidP="003B6900">
      <w:pPr>
        <w:jc w:val="center"/>
        <w:rPr>
          <w:rFonts w:asciiTheme="minorHAnsi" w:hAnsiTheme="minorHAnsi"/>
          <w:sz w:val="28"/>
          <w:szCs w:val="28"/>
        </w:rPr>
      </w:pPr>
    </w:p>
    <w:p w:rsidR="00913689" w:rsidRPr="005A48CE" w:rsidRDefault="00913689"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sz w:val="28"/>
          <w:szCs w:val="28"/>
        </w:rPr>
      </w:pPr>
    </w:p>
    <w:p w:rsidR="003B6900" w:rsidRPr="005A48CE" w:rsidRDefault="003B6900" w:rsidP="003B6900">
      <w:pPr>
        <w:jc w:val="center"/>
        <w:rPr>
          <w:rFonts w:asciiTheme="minorHAnsi" w:hAnsiTheme="minorHAnsi"/>
        </w:rPr>
      </w:pPr>
      <w:r w:rsidRPr="005A48CE">
        <w:rPr>
          <w:rFonts w:asciiTheme="minorHAnsi" w:hAnsiTheme="minorHAnsi"/>
          <w:highlight w:val="lightGray"/>
        </w:rPr>
        <w:t>Lundi 12 juin 2017 de 14h à 18h</w:t>
      </w:r>
    </w:p>
    <w:p w:rsidR="003B6900" w:rsidRPr="005A48CE" w:rsidRDefault="003B6900" w:rsidP="003B6900">
      <w:pPr>
        <w:jc w:val="center"/>
        <w:rPr>
          <w:rFonts w:asciiTheme="minorHAnsi" w:hAnsiTheme="minorHAnsi"/>
        </w:rPr>
      </w:pPr>
    </w:p>
    <w:p w:rsidR="003B6900" w:rsidRPr="005A48CE" w:rsidRDefault="003B6900" w:rsidP="003B6900">
      <w:pPr>
        <w:jc w:val="center"/>
        <w:rPr>
          <w:rFonts w:asciiTheme="minorHAnsi" w:hAnsiTheme="minorHAnsi"/>
        </w:rPr>
      </w:pPr>
    </w:p>
    <w:p w:rsidR="003B6900" w:rsidRPr="005A48CE" w:rsidRDefault="003B6900" w:rsidP="003B6900">
      <w:pPr>
        <w:jc w:val="both"/>
        <w:rPr>
          <w:rFonts w:asciiTheme="minorHAnsi" w:hAnsiTheme="minorHAnsi"/>
          <w:b/>
        </w:rPr>
      </w:pPr>
      <w:r w:rsidRPr="005A48CE">
        <w:rPr>
          <w:rFonts w:asciiTheme="minorHAnsi" w:hAnsiTheme="minorHAnsi"/>
        </w:rPr>
        <w:t xml:space="preserve">13h.30. </w:t>
      </w:r>
      <w:r w:rsidRPr="005A48CE">
        <w:rPr>
          <w:rFonts w:asciiTheme="minorHAnsi" w:hAnsiTheme="minorHAnsi"/>
          <w:b/>
        </w:rPr>
        <w:t xml:space="preserve"> Accueil des participants</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b/>
        </w:rPr>
      </w:pPr>
      <w:r w:rsidRPr="005A48CE">
        <w:rPr>
          <w:rFonts w:asciiTheme="minorHAnsi" w:hAnsiTheme="minorHAnsi"/>
        </w:rPr>
        <w:t xml:space="preserve">14h. </w:t>
      </w:r>
      <w:r w:rsidRPr="005A48CE">
        <w:rPr>
          <w:rFonts w:asciiTheme="minorHAnsi" w:hAnsiTheme="minorHAnsi"/>
          <w:b/>
        </w:rPr>
        <w:t>Présentation des enjeux de ce séminaire et de son organisation</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b/>
        </w:rPr>
      </w:pPr>
      <w:r w:rsidRPr="005A48CE">
        <w:rPr>
          <w:rFonts w:asciiTheme="minorHAnsi" w:hAnsiTheme="minorHAnsi"/>
        </w:rPr>
        <w:t>14h30.</w:t>
      </w:r>
      <w:r w:rsidRPr="005A48CE">
        <w:rPr>
          <w:rFonts w:asciiTheme="minorHAnsi" w:hAnsiTheme="minorHAnsi"/>
          <w:b/>
        </w:rPr>
        <w:t xml:space="preserve"> Accompagner les personnes, de la vie en institution à la vie dans la cité : enjeux, leviers, freins</w:t>
      </w:r>
    </w:p>
    <w:p w:rsidR="003B6900" w:rsidRPr="005A48CE" w:rsidRDefault="003B6900" w:rsidP="003B6900">
      <w:pPr>
        <w:jc w:val="both"/>
        <w:rPr>
          <w:rFonts w:asciiTheme="minorHAnsi" w:hAnsiTheme="minorHAnsi"/>
          <w:b/>
        </w:rPr>
      </w:pPr>
    </w:p>
    <w:p w:rsidR="003B6900" w:rsidRPr="005A48CE" w:rsidRDefault="003B6900" w:rsidP="005A48CE">
      <w:pPr>
        <w:ind w:firstLine="709"/>
        <w:jc w:val="both"/>
        <w:rPr>
          <w:rFonts w:asciiTheme="minorHAnsi" w:hAnsiTheme="minorHAnsi"/>
        </w:rPr>
      </w:pPr>
      <w:r w:rsidRPr="005A48CE">
        <w:rPr>
          <w:rFonts w:asciiTheme="minorHAnsi" w:hAnsiTheme="minorHAnsi"/>
        </w:rPr>
        <w:t>Expressions des avis, des controverses, des questionnements</w:t>
      </w:r>
    </w:p>
    <w:p w:rsidR="003B6900" w:rsidRPr="005A48CE" w:rsidRDefault="003B6900" w:rsidP="005A48CE">
      <w:pPr>
        <w:ind w:firstLine="709"/>
        <w:jc w:val="both"/>
        <w:rPr>
          <w:rFonts w:asciiTheme="minorHAnsi" w:hAnsiTheme="minorHAnsi"/>
          <w:i/>
        </w:rPr>
      </w:pPr>
      <w:r w:rsidRPr="005A48CE">
        <w:rPr>
          <w:rFonts w:asciiTheme="minorHAnsi" w:hAnsiTheme="minorHAnsi"/>
          <w:i/>
        </w:rPr>
        <w:t>Débat mouvant</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b/>
        </w:rPr>
      </w:pPr>
      <w:r w:rsidRPr="005A48CE">
        <w:rPr>
          <w:rFonts w:asciiTheme="minorHAnsi" w:hAnsiTheme="minorHAnsi"/>
        </w:rPr>
        <w:t xml:space="preserve">16h. </w:t>
      </w:r>
      <w:r w:rsidRPr="005A48CE">
        <w:rPr>
          <w:rFonts w:asciiTheme="minorHAnsi" w:hAnsiTheme="minorHAnsi"/>
          <w:b/>
        </w:rPr>
        <w:t>Echanges et analyses d’expériences</w:t>
      </w:r>
    </w:p>
    <w:p w:rsidR="003B6900" w:rsidRPr="005A48CE" w:rsidRDefault="003B6900" w:rsidP="005A48CE">
      <w:pPr>
        <w:ind w:firstLine="709"/>
        <w:jc w:val="both"/>
        <w:rPr>
          <w:rFonts w:asciiTheme="minorHAnsi" w:hAnsiTheme="minorHAnsi"/>
          <w:i/>
        </w:rPr>
      </w:pPr>
      <w:r w:rsidRPr="005A48CE">
        <w:rPr>
          <w:rFonts w:asciiTheme="minorHAnsi" w:hAnsiTheme="minorHAnsi"/>
          <w:i/>
        </w:rPr>
        <w:t>Ateliers tables apprenantes</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i/>
        </w:rPr>
      </w:pPr>
    </w:p>
    <w:p w:rsidR="003B6900" w:rsidRDefault="003B6900" w:rsidP="003B6900">
      <w:pPr>
        <w:jc w:val="center"/>
        <w:rPr>
          <w:rFonts w:asciiTheme="minorHAnsi" w:hAnsiTheme="minorHAnsi"/>
          <w:highlight w:val="lightGray"/>
        </w:rPr>
      </w:pPr>
    </w:p>
    <w:p w:rsidR="00913689" w:rsidRDefault="00913689" w:rsidP="003B6900">
      <w:pPr>
        <w:jc w:val="center"/>
        <w:rPr>
          <w:rFonts w:asciiTheme="minorHAnsi" w:hAnsiTheme="minorHAnsi"/>
          <w:highlight w:val="lightGray"/>
        </w:rPr>
      </w:pPr>
    </w:p>
    <w:p w:rsidR="00913689" w:rsidRPr="005A48CE" w:rsidRDefault="00913689" w:rsidP="003B6900">
      <w:pPr>
        <w:jc w:val="center"/>
        <w:rPr>
          <w:rFonts w:asciiTheme="minorHAnsi" w:hAnsiTheme="minorHAnsi"/>
          <w:highlight w:val="lightGray"/>
        </w:rPr>
      </w:pPr>
    </w:p>
    <w:p w:rsidR="003B6900" w:rsidRPr="005A48CE" w:rsidRDefault="003B6900" w:rsidP="003B6900">
      <w:pPr>
        <w:jc w:val="center"/>
        <w:rPr>
          <w:rFonts w:asciiTheme="minorHAnsi" w:hAnsiTheme="minorHAnsi"/>
          <w:highlight w:val="lightGray"/>
        </w:rPr>
      </w:pPr>
    </w:p>
    <w:p w:rsidR="003B6900" w:rsidRPr="005A48CE" w:rsidRDefault="003B6900" w:rsidP="003B6900">
      <w:pPr>
        <w:jc w:val="center"/>
        <w:rPr>
          <w:rFonts w:asciiTheme="minorHAnsi" w:hAnsiTheme="minorHAnsi"/>
        </w:rPr>
      </w:pPr>
      <w:r w:rsidRPr="005A48CE">
        <w:rPr>
          <w:rFonts w:asciiTheme="minorHAnsi" w:hAnsiTheme="minorHAnsi"/>
          <w:highlight w:val="lightGray"/>
        </w:rPr>
        <w:lastRenderedPageBreak/>
        <w:t>Mardi 13 juin de 9h à 16h</w:t>
      </w:r>
    </w:p>
    <w:p w:rsidR="003B6900" w:rsidRPr="005A48CE" w:rsidRDefault="003B6900" w:rsidP="003B6900">
      <w:pPr>
        <w:rPr>
          <w:rFonts w:asciiTheme="minorHAnsi" w:hAnsiTheme="minorHAnsi"/>
        </w:rPr>
      </w:pPr>
    </w:p>
    <w:p w:rsidR="003B6900" w:rsidRPr="005A48CE" w:rsidRDefault="003B6900" w:rsidP="003B6900">
      <w:pPr>
        <w:jc w:val="both"/>
        <w:rPr>
          <w:rFonts w:asciiTheme="minorHAnsi" w:hAnsiTheme="minorHAnsi"/>
        </w:rPr>
      </w:pPr>
      <w:r w:rsidRPr="005A48CE">
        <w:rPr>
          <w:rFonts w:asciiTheme="minorHAnsi" w:hAnsiTheme="minorHAnsi"/>
        </w:rPr>
        <w:t xml:space="preserve">9h. </w:t>
      </w:r>
      <w:r w:rsidRPr="005A48CE">
        <w:rPr>
          <w:rFonts w:asciiTheme="minorHAnsi" w:hAnsiTheme="minorHAnsi"/>
          <w:b/>
        </w:rPr>
        <w:t xml:space="preserve">Etat de la recherche en </w:t>
      </w:r>
      <w:r w:rsidRPr="00BA2C83">
        <w:rPr>
          <w:rFonts w:asciiTheme="minorHAnsi" w:hAnsiTheme="minorHAnsi"/>
          <w:b/>
        </w:rPr>
        <w:t xml:space="preserve">France </w:t>
      </w:r>
      <w:r w:rsidR="00BA2C83" w:rsidRPr="00BA2C83">
        <w:rPr>
          <w:rFonts w:asciiTheme="minorHAnsi" w:hAnsiTheme="minorHAnsi"/>
          <w:b/>
        </w:rPr>
        <w:t>et en Europe</w:t>
      </w:r>
    </w:p>
    <w:p w:rsidR="003B6900" w:rsidRPr="005A48CE" w:rsidRDefault="003B6900" w:rsidP="005A48CE">
      <w:pPr>
        <w:ind w:firstLine="709"/>
        <w:jc w:val="both"/>
        <w:rPr>
          <w:rFonts w:asciiTheme="minorHAnsi" w:hAnsiTheme="minorHAnsi"/>
          <w:i/>
        </w:rPr>
      </w:pPr>
      <w:r w:rsidRPr="005A48CE">
        <w:rPr>
          <w:rFonts w:asciiTheme="minorHAnsi" w:hAnsiTheme="minorHAnsi"/>
          <w:i/>
        </w:rPr>
        <w:t xml:space="preserve">Conférence – débat  </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rPr>
      </w:pPr>
      <w:r w:rsidRPr="005A48CE">
        <w:rPr>
          <w:rFonts w:asciiTheme="minorHAnsi" w:hAnsiTheme="minorHAnsi"/>
        </w:rPr>
        <w:t xml:space="preserve">10h30. </w:t>
      </w:r>
      <w:r w:rsidRPr="005A48CE">
        <w:rPr>
          <w:rFonts w:asciiTheme="minorHAnsi" w:hAnsiTheme="minorHAnsi"/>
          <w:b/>
        </w:rPr>
        <w:t>La rencontre des mondes : au-delà de la désinstitutionalisation, l’enjeu d’ouverture sur la cité</w:t>
      </w:r>
    </w:p>
    <w:p w:rsidR="003B6900" w:rsidRPr="005A48CE" w:rsidRDefault="003B6900" w:rsidP="005A48CE">
      <w:pPr>
        <w:ind w:firstLine="709"/>
        <w:jc w:val="both"/>
        <w:rPr>
          <w:rFonts w:asciiTheme="minorHAnsi" w:hAnsiTheme="minorHAnsi"/>
        </w:rPr>
      </w:pPr>
      <w:r w:rsidRPr="005A48CE">
        <w:rPr>
          <w:rFonts w:asciiTheme="minorHAnsi" w:hAnsiTheme="minorHAnsi"/>
        </w:rPr>
        <w:t>Table ronde</w:t>
      </w:r>
    </w:p>
    <w:p w:rsidR="003B6900" w:rsidRPr="005A48CE" w:rsidRDefault="003B6900" w:rsidP="003B6900">
      <w:pPr>
        <w:jc w:val="both"/>
        <w:rPr>
          <w:rFonts w:asciiTheme="minorHAnsi" w:hAnsiTheme="minorHAnsi"/>
        </w:rPr>
      </w:pPr>
    </w:p>
    <w:p w:rsidR="003B6900" w:rsidRPr="005A48CE" w:rsidRDefault="003B6900" w:rsidP="003B6900">
      <w:pPr>
        <w:jc w:val="both"/>
        <w:rPr>
          <w:rFonts w:asciiTheme="minorHAnsi" w:hAnsiTheme="minorHAnsi"/>
          <w:b/>
        </w:rPr>
      </w:pPr>
      <w:r w:rsidRPr="005A48CE">
        <w:rPr>
          <w:rFonts w:asciiTheme="minorHAnsi" w:hAnsiTheme="minorHAnsi"/>
        </w:rPr>
        <w:t>13h30.</w:t>
      </w:r>
      <w:r w:rsidRPr="005A48CE">
        <w:rPr>
          <w:rFonts w:asciiTheme="minorHAnsi" w:hAnsiTheme="minorHAnsi"/>
          <w:b/>
        </w:rPr>
        <w:t xml:space="preserve"> Questions de  transition(s) : comment accompagner ce mouvement</w:t>
      </w:r>
    </w:p>
    <w:p w:rsidR="003B6900" w:rsidRPr="005A48CE" w:rsidRDefault="003B6900" w:rsidP="003B6900">
      <w:pPr>
        <w:jc w:val="both"/>
        <w:rPr>
          <w:rFonts w:asciiTheme="minorHAnsi" w:hAnsiTheme="minorHAnsi"/>
          <w:i/>
        </w:rPr>
      </w:pPr>
      <w:r w:rsidRPr="005A48CE">
        <w:rPr>
          <w:rFonts w:asciiTheme="minorHAnsi" w:hAnsiTheme="minorHAnsi"/>
        </w:rPr>
        <w:t xml:space="preserve"> </w:t>
      </w:r>
      <w:r w:rsidR="005A48CE" w:rsidRPr="005A48CE">
        <w:rPr>
          <w:rFonts w:asciiTheme="minorHAnsi" w:hAnsiTheme="minorHAnsi"/>
        </w:rPr>
        <w:tab/>
      </w:r>
      <w:r w:rsidRPr="005A48CE">
        <w:rPr>
          <w:rFonts w:asciiTheme="minorHAnsi" w:hAnsiTheme="minorHAnsi"/>
          <w:i/>
        </w:rPr>
        <w:t>Ateliers synthèses et propositions de pistes de travail pour la suite</w:t>
      </w:r>
    </w:p>
    <w:p w:rsidR="003B6900" w:rsidRPr="005A48CE" w:rsidRDefault="003B6900" w:rsidP="003B6900">
      <w:pPr>
        <w:jc w:val="both"/>
        <w:rPr>
          <w:rFonts w:asciiTheme="minorHAnsi" w:hAnsiTheme="minorHAnsi"/>
          <w:b/>
        </w:rPr>
      </w:pPr>
    </w:p>
    <w:p w:rsidR="003B6900" w:rsidRPr="005A48CE" w:rsidRDefault="003B6900" w:rsidP="003B6900">
      <w:pPr>
        <w:jc w:val="both"/>
        <w:rPr>
          <w:rFonts w:asciiTheme="minorHAnsi" w:hAnsiTheme="minorHAnsi"/>
        </w:rPr>
      </w:pPr>
      <w:r w:rsidRPr="005A48CE">
        <w:rPr>
          <w:rFonts w:asciiTheme="minorHAnsi" w:hAnsiTheme="minorHAnsi"/>
        </w:rPr>
        <w:t>15h.</w:t>
      </w:r>
      <w:r w:rsidRPr="005A48CE">
        <w:rPr>
          <w:rFonts w:asciiTheme="minorHAnsi" w:hAnsiTheme="minorHAnsi"/>
          <w:b/>
        </w:rPr>
        <w:t xml:space="preserve"> Conclusion</w:t>
      </w:r>
      <w:r w:rsidRPr="005A48CE">
        <w:rPr>
          <w:rFonts w:asciiTheme="minorHAnsi" w:hAnsiTheme="minorHAnsi"/>
        </w:rPr>
        <w:t> : présentation des travaux échanges-débats</w:t>
      </w:r>
    </w:p>
    <w:p w:rsidR="003B6900" w:rsidRPr="00974591" w:rsidRDefault="003B6900" w:rsidP="003B6900"/>
    <w:p w:rsidR="003B6900" w:rsidRPr="00974591" w:rsidRDefault="003B6900" w:rsidP="003B6900"/>
    <w:p w:rsidR="003B6900" w:rsidRDefault="003B6900" w:rsidP="003B6900">
      <w:pPr>
        <w:rPr>
          <w:sz w:val="28"/>
          <w:szCs w:val="28"/>
        </w:rPr>
      </w:pPr>
    </w:p>
    <w:p w:rsidR="003B6900" w:rsidRDefault="003B6900" w:rsidP="003B6900">
      <w:pPr>
        <w:rPr>
          <w:sz w:val="28"/>
          <w:szCs w:val="28"/>
        </w:rPr>
      </w:pPr>
    </w:p>
    <w:p w:rsidR="003B6900" w:rsidRDefault="003B6900" w:rsidP="003B6900">
      <w:pPr>
        <w:jc w:val="center"/>
        <w:rPr>
          <w:sz w:val="28"/>
          <w:szCs w:val="28"/>
        </w:rPr>
      </w:pPr>
    </w:p>
    <w:p w:rsidR="003B6900" w:rsidRDefault="003B6900" w:rsidP="003B6900">
      <w:pPr>
        <w:jc w:val="center"/>
        <w:rPr>
          <w:sz w:val="28"/>
          <w:szCs w:val="28"/>
        </w:rPr>
      </w:pPr>
    </w:p>
    <w:p w:rsidR="003B6900" w:rsidRDefault="003B6900" w:rsidP="003B6900">
      <w:pPr>
        <w:jc w:val="center"/>
        <w:rPr>
          <w:sz w:val="28"/>
          <w:szCs w:val="28"/>
        </w:rPr>
      </w:pPr>
    </w:p>
    <w:p w:rsidR="003B6900" w:rsidRDefault="003B6900" w:rsidP="003B6900">
      <w:pPr>
        <w:jc w:val="center"/>
        <w:rPr>
          <w:sz w:val="28"/>
          <w:szCs w:val="28"/>
        </w:rPr>
      </w:pPr>
    </w:p>
    <w:p w:rsidR="003B6900" w:rsidRDefault="003B6900" w:rsidP="003B6900">
      <w:pPr>
        <w:jc w:val="center"/>
        <w:rPr>
          <w:sz w:val="28"/>
          <w:szCs w:val="28"/>
        </w:rPr>
      </w:pPr>
    </w:p>
    <w:p w:rsidR="003B6900" w:rsidRDefault="003B6900" w:rsidP="003B6900">
      <w:pPr>
        <w:jc w:val="center"/>
        <w:rPr>
          <w:sz w:val="28"/>
          <w:szCs w:val="28"/>
        </w:rPr>
      </w:pPr>
    </w:p>
    <w:p w:rsidR="00E426DF" w:rsidRPr="00E426DF" w:rsidRDefault="00E426DF" w:rsidP="003B6900">
      <w:pPr>
        <w:jc w:val="center"/>
        <w:rPr>
          <w:rFonts w:asciiTheme="minorHAnsi" w:hAnsiTheme="minorHAnsi"/>
          <w:b/>
        </w:rPr>
      </w:pPr>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AFCCRE : Association du Conseil des Communes et Régions d’Europe</w:t>
      </w:r>
    </w:p>
    <w:p w:rsidR="003B6900" w:rsidRPr="006673AC" w:rsidRDefault="003B6900" w:rsidP="003B6900">
      <w:pPr>
        <w:rPr>
          <w:rFonts w:asciiTheme="minorHAnsi" w:hAnsiTheme="minorHAnsi"/>
        </w:rPr>
      </w:pPr>
      <w:r w:rsidRPr="006673AC">
        <w:rPr>
          <w:rFonts w:asciiTheme="minorHAnsi" w:hAnsiTheme="minorHAnsi"/>
          <w:sz w:val="18"/>
          <w:szCs w:val="18"/>
        </w:rPr>
        <w:t>ANDASS : Association Nationale des Directeurs d’Action Sociale et de Santé</w:t>
      </w:r>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CNAPE : Convention Nationale des Associa</w:t>
      </w:r>
      <w:r w:rsidR="002652BB">
        <w:rPr>
          <w:rFonts w:asciiTheme="minorHAnsi" w:hAnsiTheme="minorHAnsi"/>
          <w:sz w:val="18"/>
          <w:szCs w:val="18"/>
        </w:rPr>
        <w:t>tions de Protection de l’Enfant</w:t>
      </w:r>
      <w:bookmarkStart w:id="0" w:name="_GoBack"/>
      <w:bookmarkEnd w:id="0"/>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CNFPT : Centre National de la Fonction Publique Territoriale</w:t>
      </w:r>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CNSA : Caisse Nationale de Solidarité Autonomie</w:t>
      </w:r>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 xml:space="preserve">ESN: </w:t>
      </w:r>
      <w:proofErr w:type="spellStart"/>
      <w:r w:rsidRPr="006673AC">
        <w:rPr>
          <w:rFonts w:asciiTheme="minorHAnsi" w:hAnsiTheme="minorHAnsi"/>
          <w:sz w:val="18"/>
          <w:szCs w:val="18"/>
        </w:rPr>
        <w:t>European</w:t>
      </w:r>
      <w:proofErr w:type="spellEnd"/>
      <w:r w:rsidRPr="006673AC">
        <w:rPr>
          <w:rFonts w:asciiTheme="minorHAnsi" w:hAnsiTheme="minorHAnsi"/>
          <w:sz w:val="18"/>
          <w:szCs w:val="18"/>
        </w:rPr>
        <w:t xml:space="preserve"> Social Network</w:t>
      </w:r>
    </w:p>
    <w:p w:rsidR="003B6900" w:rsidRPr="006673AC" w:rsidRDefault="003B6900" w:rsidP="003B6900">
      <w:pPr>
        <w:rPr>
          <w:rFonts w:asciiTheme="minorHAnsi" w:hAnsiTheme="minorHAnsi"/>
          <w:sz w:val="18"/>
          <w:szCs w:val="18"/>
        </w:rPr>
      </w:pPr>
      <w:r w:rsidRPr="006673AC">
        <w:rPr>
          <w:rFonts w:asciiTheme="minorHAnsi" w:hAnsiTheme="minorHAnsi"/>
          <w:sz w:val="18"/>
          <w:szCs w:val="18"/>
        </w:rPr>
        <w:t>ONPE : Observatoire National de la Protection de l’Enfance</w:t>
      </w:r>
    </w:p>
    <w:p w:rsidR="00DF0C94" w:rsidRPr="006673AC" w:rsidRDefault="003B6900" w:rsidP="00ED0331">
      <w:pPr>
        <w:rPr>
          <w:rFonts w:asciiTheme="minorHAnsi" w:hAnsiTheme="minorHAnsi"/>
        </w:rPr>
      </w:pPr>
      <w:r w:rsidRPr="006673AC">
        <w:rPr>
          <w:rFonts w:asciiTheme="minorHAnsi" w:hAnsiTheme="minorHAnsi"/>
          <w:sz w:val="18"/>
          <w:szCs w:val="18"/>
        </w:rPr>
        <w:t>UNIOPSS : Union Nationale Interfédérale des Œuvres et organismes Privés</w:t>
      </w:r>
    </w:p>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7E3873" w:rsidRDefault="007E3873" w:rsidP="00ED0331"/>
    <w:p w:rsidR="007E3873" w:rsidRDefault="007E3873" w:rsidP="00ED0331"/>
    <w:p w:rsidR="007E3873" w:rsidRDefault="007E3873" w:rsidP="00ED0331"/>
    <w:p w:rsidR="007E3873" w:rsidRDefault="007E3873" w:rsidP="00ED0331"/>
    <w:p w:rsidR="007E3873" w:rsidRDefault="007E3873" w:rsidP="00ED0331"/>
    <w:p w:rsidR="007E3873" w:rsidRDefault="007E3873" w:rsidP="00ED0331"/>
    <w:p w:rsidR="007E3873" w:rsidRDefault="007E3873" w:rsidP="00ED0331"/>
    <w:p w:rsidR="007E3873" w:rsidRDefault="007E3873" w:rsidP="00ED0331"/>
    <w:sectPr w:rsidR="007E3873" w:rsidSect="00ED0331">
      <w:headerReference w:type="default" r:id="rId7"/>
      <w:footerReference w:type="default" r:id="rId8"/>
      <w:pgSz w:w="11906" w:h="16838"/>
      <w:pgMar w:top="1134" w:right="2408" w:bottom="1276"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63" w:rsidRDefault="00561F63">
      <w:r>
        <w:separator/>
      </w:r>
    </w:p>
  </w:endnote>
  <w:endnote w:type="continuationSeparator" w:id="0">
    <w:p w:rsidR="00561F63" w:rsidRDefault="0056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57 Condense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80" w:rsidRPr="008443DC" w:rsidRDefault="00AD4580" w:rsidP="00AD4580">
    <w:pPr>
      <w:pStyle w:val="Pieddepage"/>
      <w:ind w:right="360"/>
      <w:jc w:val="center"/>
      <w:rPr>
        <w:rFonts w:ascii="Arial" w:hAnsi="Arial" w:cs="Arial"/>
      </w:rPr>
    </w:pPr>
    <w:r>
      <w:rPr>
        <w:rFonts w:ascii="Arial" w:hAnsi="Arial" w:cs="Arial"/>
      </w:rPr>
      <w:t xml:space="preserve">           </w:t>
    </w:r>
    <w:r w:rsidRPr="008443DC">
      <w:rPr>
        <w:rFonts w:ascii="Arial" w:hAnsi="Arial" w:cs="Arial"/>
      </w:rPr>
      <w:t>Centre national de la fonction publique territoriale</w:t>
    </w:r>
  </w:p>
  <w:p w:rsidR="00AD4580" w:rsidRDefault="00AD45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63" w:rsidRDefault="00561F63">
      <w:r>
        <w:separator/>
      </w:r>
    </w:p>
  </w:footnote>
  <w:footnote w:type="continuationSeparator" w:id="0">
    <w:p w:rsidR="00561F63" w:rsidRDefault="0056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31" w:rsidRDefault="009932A0" w:rsidP="007E3873">
    <w:pPr>
      <w:pStyle w:val="En-tte"/>
    </w:pPr>
    <w:r>
      <w:rPr>
        <w:noProof/>
      </w:rPr>
      <w:drawing>
        <wp:anchor distT="0" distB="0" distL="114300" distR="114300" simplePos="0" relativeHeight="251657728" behindDoc="1" locked="0" layoutInCell="1" allowOverlap="1" wp14:anchorId="0A356945" wp14:editId="3E142E0B">
          <wp:simplePos x="0" y="0"/>
          <wp:positionH relativeFrom="page">
            <wp:posOffset>6070600</wp:posOffset>
          </wp:positionH>
          <wp:positionV relativeFrom="page">
            <wp:posOffset>0</wp:posOffset>
          </wp:positionV>
          <wp:extent cx="1483360" cy="10696575"/>
          <wp:effectExtent l="0" t="0" r="2540" b="9525"/>
          <wp:wrapNone/>
          <wp:docPr id="1" name="Image 1" descr="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jaune-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95"/>
    <w:rsid w:val="00075BCE"/>
    <w:rsid w:val="000E400B"/>
    <w:rsid w:val="001C686E"/>
    <w:rsid w:val="002652BB"/>
    <w:rsid w:val="00316526"/>
    <w:rsid w:val="003B6900"/>
    <w:rsid w:val="0051184B"/>
    <w:rsid w:val="00536605"/>
    <w:rsid w:val="00561F63"/>
    <w:rsid w:val="005A48CE"/>
    <w:rsid w:val="006673AC"/>
    <w:rsid w:val="006719E9"/>
    <w:rsid w:val="007E3873"/>
    <w:rsid w:val="00827583"/>
    <w:rsid w:val="00830E95"/>
    <w:rsid w:val="008B7839"/>
    <w:rsid w:val="00912C91"/>
    <w:rsid w:val="00913689"/>
    <w:rsid w:val="009932A0"/>
    <w:rsid w:val="00A50B88"/>
    <w:rsid w:val="00AD4580"/>
    <w:rsid w:val="00B52756"/>
    <w:rsid w:val="00BA2C83"/>
    <w:rsid w:val="00C418F7"/>
    <w:rsid w:val="00DF0C94"/>
    <w:rsid w:val="00E02955"/>
    <w:rsid w:val="00E27D40"/>
    <w:rsid w:val="00E426DF"/>
    <w:rsid w:val="00ED0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D2"/>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60484"/>
    <w:rPr>
      <w:rFonts w:ascii="Lucida Grande" w:hAnsi="Lucida Grande"/>
      <w:sz w:val="18"/>
      <w:szCs w:val="18"/>
    </w:rPr>
  </w:style>
  <w:style w:type="paragraph" w:styleId="En-tte">
    <w:name w:val="header"/>
    <w:basedOn w:val="Normal"/>
    <w:rsid w:val="00995A37"/>
    <w:pPr>
      <w:tabs>
        <w:tab w:val="center" w:pos="4536"/>
        <w:tab w:val="right" w:pos="9072"/>
      </w:tabs>
    </w:pPr>
  </w:style>
  <w:style w:type="paragraph" w:styleId="Pieddepage">
    <w:name w:val="footer"/>
    <w:basedOn w:val="Normal"/>
    <w:semiHidden/>
    <w:rsid w:val="00995A37"/>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D2"/>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60484"/>
    <w:rPr>
      <w:rFonts w:ascii="Lucida Grande" w:hAnsi="Lucida Grande"/>
      <w:sz w:val="18"/>
      <w:szCs w:val="18"/>
    </w:rPr>
  </w:style>
  <w:style w:type="paragraph" w:styleId="En-tte">
    <w:name w:val="header"/>
    <w:basedOn w:val="Normal"/>
    <w:rsid w:val="00995A37"/>
    <w:pPr>
      <w:tabs>
        <w:tab w:val="center" w:pos="4536"/>
        <w:tab w:val="right" w:pos="9072"/>
      </w:tabs>
    </w:pPr>
  </w:style>
  <w:style w:type="paragraph" w:styleId="Pieddepage">
    <w:name w:val="footer"/>
    <w:basedOn w:val="Normal"/>
    <w:semiHidden/>
    <w:rsid w:val="00995A3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Titre  blablabla Xxxxxxxxxxxxxxxxxxxxxxxxxxxxxxxxxxxxxxxxxxxxxxxxxxxxxxxxxxxxxxxxxxxxxxxx</vt:lpstr>
    </vt:vector>
  </TitlesOfParts>
  <Company>CNFPT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blablabla Xxxxxxxxxxxxxxxxxxxxxxxxxxxxxxxxxxxxxxxxxxxxxxxxxxxxxxxxxxxxxxxxxxxxxxxx</dc:title>
  <dc:creator>LE GALLIC Anne</dc:creator>
  <cp:lastModifiedBy>ROBICHON Nathalie</cp:lastModifiedBy>
  <cp:revision>4</cp:revision>
  <cp:lastPrinted>2011-07-20T10:08:00Z</cp:lastPrinted>
  <dcterms:created xsi:type="dcterms:W3CDTF">2017-04-25T07:21:00Z</dcterms:created>
  <dcterms:modified xsi:type="dcterms:W3CDTF">2017-04-28T06:29:00Z</dcterms:modified>
</cp:coreProperties>
</file>