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CF" w:rsidRDefault="007235CF" w:rsidP="00B10436">
      <w:pPr>
        <w:spacing w:before="120" w:after="120" w:line="240" w:lineRule="auto"/>
        <w:jc w:val="right"/>
        <w:rPr>
          <w:sz w:val="24"/>
        </w:rPr>
      </w:pPr>
      <w:r w:rsidRPr="0085262C">
        <w:rPr>
          <w:sz w:val="24"/>
        </w:rPr>
        <w:t xml:space="preserve">Paris, le </w:t>
      </w:r>
      <w:r w:rsidR="00841C73">
        <w:rPr>
          <w:sz w:val="24"/>
        </w:rPr>
        <w:t>29</w:t>
      </w:r>
      <w:r w:rsidR="00F84DDB">
        <w:rPr>
          <w:sz w:val="24"/>
        </w:rPr>
        <w:t xml:space="preserve"> août</w:t>
      </w:r>
      <w:r w:rsidR="009D3AEE">
        <w:rPr>
          <w:sz w:val="24"/>
        </w:rPr>
        <w:t xml:space="preserve"> </w:t>
      </w:r>
      <w:r w:rsidRPr="0085262C">
        <w:rPr>
          <w:sz w:val="24"/>
        </w:rPr>
        <w:t>2018</w:t>
      </w:r>
    </w:p>
    <w:p w:rsidR="0085262C" w:rsidRPr="0085262C" w:rsidRDefault="0085262C" w:rsidP="00B10436">
      <w:pPr>
        <w:spacing w:before="120" w:after="120" w:line="240" w:lineRule="auto"/>
        <w:jc w:val="right"/>
        <w:rPr>
          <w:sz w:val="24"/>
        </w:rPr>
      </w:pPr>
    </w:p>
    <w:p w:rsidR="00F44417" w:rsidRPr="00FA4046" w:rsidRDefault="00F44417" w:rsidP="000674DE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color w:val="943634" w:themeColor="accent2" w:themeShade="BF"/>
          <w:sz w:val="32"/>
          <w:szCs w:val="22"/>
        </w:rPr>
      </w:pPr>
      <w:r w:rsidRPr="00FA4046">
        <w:rPr>
          <w:rFonts w:asciiTheme="minorHAnsi" w:hAnsiTheme="minorHAnsi"/>
          <w:b/>
          <w:color w:val="943634" w:themeColor="accent2" w:themeShade="BF"/>
          <w:sz w:val="32"/>
          <w:szCs w:val="22"/>
        </w:rPr>
        <w:t>Communiqué de presse</w:t>
      </w:r>
    </w:p>
    <w:p w:rsidR="004F6F21" w:rsidRPr="00875D2E" w:rsidRDefault="00F84DDB" w:rsidP="00875D2E">
      <w:pPr>
        <w:pStyle w:val="NormalWeb"/>
        <w:spacing w:before="120" w:beforeAutospacing="0" w:after="120" w:afterAutospacing="0"/>
        <w:jc w:val="center"/>
        <w:rPr>
          <w:rFonts w:asciiTheme="minorHAnsi" w:hAnsiTheme="minorHAnsi"/>
          <w:b/>
          <w:sz w:val="32"/>
          <w:szCs w:val="22"/>
        </w:rPr>
      </w:pPr>
      <w:r w:rsidRPr="00875D2E">
        <w:rPr>
          <w:rFonts w:asciiTheme="minorHAnsi" w:hAnsiTheme="minorHAnsi"/>
          <w:b/>
          <w:sz w:val="32"/>
          <w:szCs w:val="22"/>
        </w:rPr>
        <w:t>Cap sur la data de l’investissement public local :</w:t>
      </w:r>
    </w:p>
    <w:p w:rsidR="00F44417" w:rsidRPr="00875D2E" w:rsidRDefault="000674DE" w:rsidP="00875D2E">
      <w:pPr>
        <w:pStyle w:val="NormalWeb"/>
        <w:spacing w:before="120" w:beforeAutospacing="0" w:after="240" w:afterAutospacing="0"/>
        <w:jc w:val="center"/>
        <w:rPr>
          <w:rFonts w:asciiTheme="minorHAnsi" w:hAnsiTheme="minorHAnsi"/>
          <w:b/>
          <w:sz w:val="32"/>
          <w:szCs w:val="22"/>
        </w:rPr>
      </w:pPr>
      <w:r w:rsidRPr="00875D2E">
        <w:rPr>
          <w:rFonts w:asciiTheme="minorHAnsi" w:hAnsiTheme="minorHAnsi"/>
          <w:b/>
          <w:sz w:val="32"/>
          <w:szCs w:val="22"/>
        </w:rPr>
        <w:t>l</w:t>
      </w:r>
      <w:r w:rsidR="00F84DDB" w:rsidRPr="00875D2E">
        <w:rPr>
          <w:rFonts w:asciiTheme="minorHAnsi" w:hAnsiTheme="minorHAnsi"/>
          <w:b/>
          <w:sz w:val="32"/>
          <w:szCs w:val="22"/>
        </w:rPr>
        <w:t>es données 2017 disponibles !</w:t>
      </w:r>
    </w:p>
    <w:p w:rsidR="007235CF" w:rsidRPr="00146DD6" w:rsidRDefault="00F44417" w:rsidP="00EC01FA">
      <w:pPr>
        <w:spacing w:before="120" w:after="120" w:line="240" w:lineRule="auto"/>
        <w:jc w:val="both"/>
        <w:rPr>
          <w:sz w:val="24"/>
        </w:rPr>
      </w:pPr>
      <w:r w:rsidRPr="00146DD6">
        <w:rPr>
          <w:sz w:val="24"/>
        </w:rPr>
        <w:t xml:space="preserve">Dans le cadre de ses missions, </w:t>
      </w:r>
      <w:r w:rsidRPr="00146DD6">
        <w:rPr>
          <w:b/>
          <w:sz w:val="24"/>
        </w:rPr>
        <w:t xml:space="preserve">l’Observatoire de </w:t>
      </w:r>
      <w:r w:rsidR="00731A9C">
        <w:rPr>
          <w:b/>
          <w:sz w:val="24"/>
        </w:rPr>
        <w:t>F</w:t>
      </w:r>
      <w:r w:rsidRPr="00146DD6">
        <w:rPr>
          <w:b/>
          <w:sz w:val="24"/>
        </w:rPr>
        <w:t xml:space="preserve">inances et de la </w:t>
      </w:r>
      <w:r w:rsidR="00731A9C">
        <w:rPr>
          <w:b/>
          <w:sz w:val="24"/>
        </w:rPr>
        <w:t>G</w:t>
      </w:r>
      <w:r w:rsidRPr="00146DD6">
        <w:rPr>
          <w:b/>
          <w:sz w:val="24"/>
        </w:rPr>
        <w:t xml:space="preserve">estion publique </w:t>
      </w:r>
      <w:r w:rsidR="00731A9C">
        <w:rPr>
          <w:b/>
          <w:sz w:val="24"/>
        </w:rPr>
        <w:t>L</w:t>
      </w:r>
      <w:r w:rsidRPr="00146DD6">
        <w:rPr>
          <w:b/>
          <w:sz w:val="24"/>
        </w:rPr>
        <w:t>ocales (OFGL)</w:t>
      </w:r>
      <w:r w:rsidRPr="00146DD6">
        <w:rPr>
          <w:sz w:val="24"/>
        </w:rPr>
        <w:t xml:space="preserve"> collecte, analyse et partage des information</w:t>
      </w:r>
      <w:r w:rsidR="007235CF" w:rsidRPr="00146DD6">
        <w:rPr>
          <w:sz w:val="24"/>
        </w:rPr>
        <w:t>s</w:t>
      </w:r>
      <w:r w:rsidRPr="00146DD6">
        <w:rPr>
          <w:sz w:val="24"/>
        </w:rPr>
        <w:t xml:space="preserve"> sur les finances et la gestion des collectivités locales. </w:t>
      </w:r>
    </w:p>
    <w:p w:rsidR="00F44417" w:rsidRPr="00146DD6" w:rsidRDefault="00F84DDB" w:rsidP="006B1CB0">
      <w:pPr>
        <w:pBdr>
          <w:left w:val="single" w:sz="48" w:space="4" w:color="7F7F7F" w:themeColor="text1" w:themeTint="80"/>
        </w:pBdr>
        <w:spacing w:after="120" w:line="240" w:lineRule="auto"/>
        <w:jc w:val="both"/>
        <w:rPr>
          <w:sz w:val="24"/>
        </w:rPr>
      </w:pPr>
      <w:r w:rsidRPr="00F84DDB">
        <w:rPr>
          <w:sz w:val="24"/>
        </w:rPr>
        <w:t xml:space="preserve">En </w:t>
      </w:r>
      <w:r w:rsidR="002F4B79">
        <w:rPr>
          <w:sz w:val="24"/>
        </w:rPr>
        <w:t>mai</w:t>
      </w:r>
      <w:r w:rsidRPr="00F84DDB">
        <w:rPr>
          <w:sz w:val="24"/>
        </w:rPr>
        <w:t xml:space="preserve"> dernier</w:t>
      </w:r>
      <w:r w:rsidR="004F6F21">
        <w:rPr>
          <w:sz w:val="24"/>
        </w:rPr>
        <w:t>,</w:t>
      </w:r>
      <w:r w:rsidRPr="00F84DDB">
        <w:rPr>
          <w:sz w:val="24"/>
        </w:rPr>
        <w:t xml:space="preserve"> l’OFGL </w:t>
      </w:r>
      <w:r>
        <w:rPr>
          <w:sz w:val="24"/>
        </w:rPr>
        <w:t>mettait</w:t>
      </w:r>
      <w:r w:rsidRPr="00F84DDB">
        <w:rPr>
          <w:sz w:val="24"/>
        </w:rPr>
        <w:t xml:space="preserve"> en ligne</w:t>
      </w:r>
      <w:r w:rsidR="00E03C0F" w:rsidRPr="00F84DDB">
        <w:rPr>
          <w:sz w:val="24"/>
        </w:rPr>
        <w:t xml:space="preserve"> </w:t>
      </w:r>
      <w:r w:rsidR="00E03C0F" w:rsidRPr="00E03C0F">
        <w:rPr>
          <w:b/>
          <w:sz w:val="24"/>
        </w:rPr>
        <w:t xml:space="preserve">une </w:t>
      </w:r>
      <w:r w:rsidR="00E03C0F" w:rsidRPr="00B10436">
        <w:rPr>
          <w:b/>
          <w:sz w:val="24"/>
        </w:rPr>
        <w:t>application</w:t>
      </w:r>
      <w:r w:rsidR="00B10436">
        <w:rPr>
          <w:b/>
          <w:sz w:val="24"/>
        </w:rPr>
        <w:t xml:space="preserve"> web</w:t>
      </w:r>
      <w:r w:rsidR="00E03C0F" w:rsidRPr="00E03C0F">
        <w:rPr>
          <w:b/>
          <w:sz w:val="24"/>
        </w:rPr>
        <w:t xml:space="preserve"> permettant l’accès simplifié aux </w:t>
      </w:r>
      <w:r w:rsidR="00F44417" w:rsidRPr="00146DD6">
        <w:rPr>
          <w:b/>
          <w:sz w:val="24"/>
        </w:rPr>
        <w:t>données financières sur les investissements des collectivités locales</w:t>
      </w:r>
      <w:r w:rsidR="00F44417" w:rsidRPr="00146DD6">
        <w:rPr>
          <w:sz w:val="24"/>
        </w:rPr>
        <w:t xml:space="preserve">. </w:t>
      </w:r>
    </w:p>
    <w:p w:rsidR="00F84DDB" w:rsidRPr="00C137DE" w:rsidRDefault="00F84DDB" w:rsidP="006B1CB0">
      <w:pPr>
        <w:pStyle w:val="NormalWeb"/>
        <w:pBdr>
          <w:left w:val="single" w:sz="48" w:space="4" w:color="7F7F7F" w:themeColor="text1" w:themeTint="80"/>
        </w:pBdr>
        <w:spacing w:before="0" w:beforeAutospacing="0" w:after="120" w:afterAutospacing="0"/>
        <w:jc w:val="both"/>
        <w:rPr>
          <w:rFonts w:asciiTheme="minorHAnsi" w:hAnsiTheme="minorHAnsi"/>
          <w:b/>
          <w:color w:val="943634" w:themeColor="accent2" w:themeShade="BF"/>
          <w:szCs w:val="22"/>
        </w:rPr>
      </w:pPr>
      <w:r w:rsidRPr="00C137DE">
        <w:rPr>
          <w:rFonts w:asciiTheme="minorHAnsi" w:hAnsiTheme="minorHAnsi"/>
          <w:b/>
          <w:color w:val="943634" w:themeColor="accent2" w:themeShade="BF"/>
          <w:szCs w:val="22"/>
        </w:rPr>
        <w:t>La nouvelle version de l’application inclu</w:t>
      </w:r>
      <w:r w:rsidR="00BA2E6B">
        <w:rPr>
          <w:rFonts w:asciiTheme="minorHAnsi" w:hAnsiTheme="minorHAnsi"/>
          <w:b/>
          <w:color w:val="943634" w:themeColor="accent2" w:themeShade="BF"/>
          <w:szCs w:val="22"/>
        </w:rPr>
        <w:t>t</w:t>
      </w:r>
      <w:r w:rsidRPr="00C137DE">
        <w:rPr>
          <w:rFonts w:asciiTheme="minorHAnsi" w:hAnsiTheme="minorHAnsi"/>
          <w:b/>
          <w:color w:val="943634" w:themeColor="accent2" w:themeShade="BF"/>
          <w:szCs w:val="22"/>
        </w:rPr>
        <w:t xml:space="preserve"> dorénavant l’analy</w:t>
      </w:r>
      <w:r w:rsidR="00267EB4" w:rsidRPr="00C137DE">
        <w:rPr>
          <w:rFonts w:asciiTheme="minorHAnsi" w:hAnsiTheme="minorHAnsi"/>
          <w:b/>
          <w:color w:val="943634" w:themeColor="accent2" w:themeShade="BF"/>
          <w:szCs w:val="22"/>
        </w:rPr>
        <w:t>se des résultats financiers sur </w:t>
      </w:r>
      <w:r w:rsidRPr="00C137DE">
        <w:rPr>
          <w:rFonts w:asciiTheme="minorHAnsi" w:hAnsiTheme="minorHAnsi"/>
          <w:b/>
          <w:color w:val="943634" w:themeColor="accent2" w:themeShade="BF"/>
          <w:szCs w:val="22"/>
        </w:rPr>
        <w:t>2017</w:t>
      </w:r>
      <w:r w:rsidR="00C137DE" w:rsidRPr="00C137DE">
        <w:rPr>
          <w:rFonts w:asciiTheme="minorHAnsi" w:hAnsiTheme="minorHAnsi"/>
          <w:b/>
          <w:color w:val="943634" w:themeColor="accent2" w:themeShade="BF"/>
          <w:szCs w:val="22"/>
        </w:rPr>
        <w:t xml:space="preserve"> et les données sur les conseils régionaux</w:t>
      </w:r>
      <w:r w:rsidRPr="00C137DE">
        <w:rPr>
          <w:rFonts w:asciiTheme="minorHAnsi" w:hAnsiTheme="minorHAnsi"/>
          <w:b/>
          <w:color w:val="943634" w:themeColor="accent2" w:themeShade="BF"/>
          <w:szCs w:val="22"/>
        </w:rPr>
        <w:t>.</w:t>
      </w:r>
    </w:p>
    <w:p w:rsidR="00154BEF" w:rsidRPr="00146DD6" w:rsidRDefault="00F84DDB" w:rsidP="006B1CB0">
      <w:pPr>
        <w:pStyle w:val="NormalWeb"/>
        <w:pBdr>
          <w:left w:val="single" w:sz="48" w:space="4" w:color="7F7F7F" w:themeColor="text1" w:themeTint="80"/>
        </w:pBdr>
        <w:spacing w:before="0" w:beforeAutospacing="0" w:after="120" w:afterAutospacing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Pour mémoire : c</w:t>
      </w:r>
      <w:r w:rsidR="00F44417" w:rsidRPr="00146DD6">
        <w:rPr>
          <w:rFonts w:asciiTheme="minorHAnsi" w:hAnsiTheme="minorHAnsi"/>
          <w:szCs w:val="22"/>
        </w:rPr>
        <w:t>et outil</w:t>
      </w:r>
      <w:r w:rsidR="00762B45">
        <w:rPr>
          <w:rFonts w:asciiTheme="minorHAnsi" w:hAnsiTheme="minorHAnsi"/>
          <w:szCs w:val="22"/>
        </w:rPr>
        <w:t xml:space="preserve"> en libre accès</w:t>
      </w:r>
      <w:r w:rsidR="00154BEF" w:rsidRPr="00146DD6">
        <w:rPr>
          <w:rFonts w:asciiTheme="minorHAnsi" w:hAnsiTheme="minorHAnsi"/>
          <w:szCs w:val="22"/>
        </w:rPr>
        <w:t>,</w:t>
      </w:r>
      <w:r w:rsidR="00890ADA" w:rsidRPr="00146DD6">
        <w:rPr>
          <w:rFonts w:asciiTheme="minorHAnsi" w:hAnsiTheme="minorHAnsi"/>
          <w:szCs w:val="22"/>
        </w:rPr>
        <w:t xml:space="preserve"> d’utilisation simple et intuiti</w:t>
      </w:r>
      <w:r w:rsidR="00154BEF" w:rsidRPr="00146DD6">
        <w:rPr>
          <w:rFonts w:asciiTheme="minorHAnsi" w:hAnsiTheme="minorHAnsi"/>
          <w:szCs w:val="22"/>
        </w:rPr>
        <w:t>ve,</w:t>
      </w:r>
      <w:r w:rsidR="00F44417" w:rsidRPr="00146DD6">
        <w:rPr>
          <w:rFonts w:asciiTheme="minorHAnsi" w:hAnsiTheme="minorHAnsi"/>
          <w:szCs w:val="22"/>
        </w:rPr>
        <w:t xml:space="preserve"> permet de </w:t>
      </w:r>
      <w:r w:rsidR="00F44417" w:rsidRPr="00146DD6">
        <w:rPr>
          <w:rStyle w:val="lev"/>
          <w:rFonts w:asciiTheme="minorHAnsi" w:hAnsiTheme="minorHAnsi"/>
          <w:szCs w:val="22"/>
        </w:rPr>
        <w:t xml:space="preserve">dresser un portrait financier de l’investissement public local </w:t>
      </w:r>
      <w:r w:rsidR="002B390C" w:rsidRPr="00146DD6">
        <w:rPr>
          <w:rStyle w:val="lev"/>
          <w:rFonts w:asciiTheme="minorHAnsi" w:hAnsiTheme="minorHAnsi"/>
          <w:szCs w:val="22"/>
        </w:rPr>
        <w:t xml:space="preserve">et de son financement </w:t>
      </w:r>
      <w:r w:rsidR="00F44417" w:rsidRPr="00146DD6">
        <w:rPr>
          <w:rStyle w:val="lev"/>
          <w:rFonts w:asciiTheme="minorHAnsi" w:hAnsiTheme="minorHAnsi"/>
          <w:szCs w:val="22"/>
        </w:rPr>
        <w:t xml:space="preserve">sur un </w:t>
      </w:r>
      <w:r w:rsidR="00154BEF" w:rsidRPr="00146DD6">
        <w:rPr>
          <w:rStyle w:val="lev"/>
          <w:rFonts w:asciiTheme="minorHAnsi" w:hAnsiTheme="minorHAnsi"/>
          <w:szCs w:val="22"/>
        </w:rPr>
        <w:t>échantillon</w:t>
      </w:r>
      <w:r w:rsidR="00F44417" w:rsidRPr="00146DD6">
        <w:rPr>
          <w:rStyle w:val="lev"/>
          <w:rFonts w:asciiTheme="minorHAnsi" w:hAnsiTheme="minorHAnsi"/>
          <w:szCs w:val="22"/>
        </w:rPr>
        <w:t xml:space="preserve"> de </w:t>
      </w:r>
      <w:r w:rsidR="002B390C" w:rsidRPr="00146DD6">
        <w:rPr>
          <w:rStyle w:val="lev"/>
          <w:rFonts w:asciiTheme="minorHAnsi" w:hAnsiTheme="minorHAnsi"/>
          <w:szCs w:val="22"/>
        </w:rPr>
        <w:t>collectivités</w:t>
      </w:r>
      <w:r w:rsidR="00154BEF" w:rsidRPr="00146DD6">
        <w:rPr>
          <w:rStyle w:val="lev"/>
          <w:rFonts w:asciiTheme="minorHAnsi" w:hAnsiTheme="minorHAnsi"/>
          <w:szCs w:val="22"/>
        </w:rPr>
        <w:t xml:space="preserve"> que l’utilisateur choisit</w:t>
      </w:r>
      <w:r w:rsidR="00E03C0F">
        <w:rPr>
          <w:rStyle w:val="lev"/>
          <w:rFonts w:asciiTheme="minorHAnsi" w:hAnsiTheme="minorHAnsi"/>
          <w:szCs w:val="22"/>
        </w:rPr>
        <w:t xml:space="preserve"> et compare à un groupe de référence. </w:t>
      </w:r>
      <w:r w:rsidR="00E03C0F" w:rsidRPr="00E03C0F">
        <w:rPr>
          <w:rStyle w:val="lev"/>
          <w:rFonts w:asciiTheme="minorHAnsi" w:hAnsiTheme="minorHAnsi"/>
          <w:b w:val="0"/>
          <w:szCs w:val="22"/>
        </w:rPr>
        <w:t>L’outil donne également la possibilité</w:t>
      </w:r>
      <w:r w:rsidR="00154BEF" w:rsidRPr="00146DD6">
        <w:rPr>
          <w:rFonts w:asciiTheme="minorHAnsi" w:hAnsiTheme="minorHAnsi"/>
          <w:szCs w:val="22"/>
        </w:rPr>
        <w:t xml:space="preserve"> d'</w:t>
      </w:r>
      <w:r w:rsidR="00154BEF" w:rsidRPr="00E03C0F">
        <w:rPr>
          <w:rFonts w:asciiTheme="minorHAnsi" w:hAnsiTheme="minorHAnsi"/>
          <w:b/>
          <w:szCs w:val="22"/>
        </w:rPr>
        <w:t>isoler une entit</w:t>
      </w:r>
      <w:bookmarkStart w:id="0" w:name="_GoBack"/>
      <w:bookmarkEnd w:id="0"/>
      <w:r w:rsidR="00154BEF" w:rsidRPr="00E03C0F">
        <w:rPr>
          <w:rFonts w:asciiTheme="minorHAnsi" w:hAnsiTheme="minorHAnsi"/>
          <w:b/>
          <w:szCs w:val="22"/>
        </w:rPr>
        <w:t>é</w:t>
      </w:r>
      <w:r w:rsidR="00154BEF" w:rsidRPr="00146DD6">
        <w:rPr>
          <w:rFonts w:asciiTheme="minorHAnsi" w:hAnsiTheme="minorHAnsi"/>
          <w:szCs w:val="22"/>
        </w:rPr>
        <w:t xml:space="preserve"> parmi ce groupe</w:t>
      </w:r>
      <w:r w:rsidR="002B390C" w:rsidRPr="00146DD6">
        <w:rPr>
          <w:rFonts w:asciiTheme="minorHAnsi" w:hAnsiTheme="minorHAnsi"/>
          <w:szCs w:val="22"/>
        </w:rPr>
        <w:t>.</w:t>
      </w:r>
      <w:r w:rsidR="00154BEF" w:rsidRPr="00146DD6">
        <w:rPr>
          <w:rFonts w:asciiTheme="minorHAnsi" w:hAnsiTheme="minorHAnsi"/>
          <w:szCs w:val="22"/>
        </w:rPr>
        <w:t xml:space="preserve"> </w:t>
      </w:r>
    </w:p>
    <w:p w:rsidR="00154BEF" w:rsidRPr="00146DD6" w:rsidRDefault="00154BEF" w:rsidP="006B1CB0">
      <w:pPr>
        <w:pStyle w:val="NormalWeb"/>
        <w:pBdr>
          <w:left w:val="single" w:sz="48" w:space="4" w:color="7F7F7F" w:themeColor="text1" w:themeTint="80"/>
        </w:pBdr>
        <w:spacing w:before="0" w:beforeAutospacing="0" w:after="120" w:afterAutospacing="0"/>
        <w:jc w:val="both"/>
        <w:rPr>
          <w:rFonts w:asciiTheme="minorHAnsi" w:hAnsiTheme="minorHAnsi"/>
          <w:szCs w:val="22"/>
        </w:rPr>
      </w:pPr>
      <w:r w:rsidRPr="00146DD6">
        <w:rPr>
          <w:rFonts w:asciiTheme="minorHAnsi" w:hAnsiTheme="minorHAnsi"/>
          <w:szCs w:val="22"/>
        </w:rPr>
        <w:t>Le résultat final</w:t>
      </w:r>
      <w:r w:rsidR="0085262C">
        <w:rPr>
          <w:rFonts w:asciiTheme="minorHAnsi" w:hAnsiTheme="minorHAnsi"/>
          <w:szCs w:val="22"/>
        </w:rPr>
        <w:t>, obtenu en t</w:t>
      </w:r>
      <w:r w:rsidR="00841C73">
        <w:rPr>
          <w:rFonts w:asciiTheme="minorHAnsi" w:hAnsiTheme="minorHAnsi"/>
          <w:szCs w:val="22"/>
        </w:rPr>
        <w:t>r</w:t>
      </w:r>
      <w:r w:rsidR="0085262C">
        <w:rPr>
          <w:rFonts w:asciiTheme="minorHAnsi" w:hAnsiTheme="minorHAnsi"/>
          <w:szCs w:val="22"/>
        </w:rPr>
        <w:t>ois</w:t>
      </w:r>
      <w:r w:rsidR="00762B45">
        <w:rPr>
          <w:rFonts w:asciiTheme="minorHAnsi" w:hAnsiTheme="minorHAnsi"/>
          <w:szCs w:val="22"/>
        </w:rPr>
        <w:t xml:space="preserve"> clics,</w:t>
      </w:r>
      <w:r w:rsidRPr="00146DD6">
        <w:rPr>
          <w:rFonts w:asciiTheme="minorHAnsi" w:hAnsiTheme="minorHAnsi"/>
          <w:szCs w:val="22"/>
        </w:rPr>
        <w:t xml:space="preserve"> se présente sous la forme</w:t>
      </w:r>
      <w:r w:rsidRPr="00146DD6">
        <w:rPr>
          <w:rStyle w:val="lev"/>
          <w:rFonts w:asciiTheme="minorHAnsi" w:hAnsiTheme="minorHAnsi"/>
          <w:szCs w:val="22"/>
        </w:rPr>
        <w:t xml:space="preserve"> </w:t>
      </w:r>
      <w:r w:rsidRPr="00146DD6">
        <w:rPr>
          <w:rStyle w:val="lev"/>
          <w:rFonts w:asciiTheme="minorHAnsi" w:hAnsiTheme="minorHAnsi"/>
          <w:b w:val="0"/>
          <w:szCs w:val="22"/>
        </w:rPr>
        <w:t>de</w:t>
      </w:r>
      <w:r w:rsidRPr="00146DD6">
        <w:rPr>
          <w:rStyle w:val="lev"/>
          <w:rFonts w:asciiTheme="minorHAnsi" w:hAnsiTheme="minorHAnsi"/>
          <w:szCs w:val="22"/>
        </w:rPr>
        <w:t xml:space="preserve"> représentations graphiques et de données individuelles que l’utilisateur peut extraire </w:t>
      </w:r>
      <w:r w:rsidRPr="00146DD6">
        <w:rPr>
          <w:rStyle w:val="lev"/>
          <w:rFonts w:asciiTheme="minorHAnsi" w:hAnsiTheme="minorHAnsi"/>
          <w:b w:val="0"/>
          <w:szCs w:val="22"/>
        </w:rPr>
        <w:t>pour construire sa propre analyse.</w:t>
      </w:r>
      <w:r w:rsidRPr="00146DD6">
        <w:rPr>
          <w:rFonts w:asciiTheme="minorHAnsi" w:hAnsiTheme="minorHAnsi"/>
          <w:szCs w:val="22"/>
        </w:rPr>
        <w:t xml:space="preserve"> </w:t>
      </w:r>
    </w:p>
    <w:p w:rsidR="00F44417" w:rsidRPr="00146DD6" w:rsidRDefault="00A90D7A" w:rsidP="00EC01FA">
      <w:pPr>
        <w:pStyle w:val="NormalWeb"/>
        <w:pBdr>
          <w:left w:val="single" w:sz="48" w:space="4" w:color="7F7F7F" w:themeColor="text1" w:themeTint="80"/>
        </w:pBdr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  <w:r w:rsidRPr="00146DD6">
        <w:rPr>
          <w:rFonts w:asciiTheme="minorHAnsi" w:hAnsiTheme="minorHAnsi"/>
          <w:szCs w:val="22"/>
        </w:rPr>
        <w:t>Ces restitutions fournissent</w:t>
      </w:r>
      <w:r w:rsidR="00154BEF" w:rsidRPr="00146DD6">
        <w:rPr>
          <w:rFonts w:asciiTheme="minorHAnsi" w:hAnsiTheme="minorHAnsi"/>
          <w:szCs w:val="22"/>
        </w:rPr>
        <w:t xml:space="preserve"> ainsi</w:t>
      </w:r>
      <w:r w:rsidR="00F44417" w:rsidRPr="00146DD6">
        <w:rPr>
          <w:rFonts w:asciiTheme="minorHAnsi" w:hAnsiTheme="minorHAnsi"/>
          <w:szCs w:val="22"/>
        </w:rPr>
        <w:t xml:space="preserve"> aux décideurs locaux et à leurs partenaires des éléments qui peuvent les </w:t>
      </w:r>
      <w:r w:rsidR="00F44417" w:rsidRPr="00146DD6">
        <w:rPr>
          <w:rFonts w:asciiTheme="minorHAnsi" w:hAnsiTheme="minorHAnsi"/>
          <w:b/>
          <w:szCs w:val="22"/>
        </w:rPr>
        <w:t>accompagner dans le développement des politiques publiques locales</w:t>
      </w:r>
      <w:r w:rsidR="00F44417" w:rsidRPr="00146DD6">
        <w:rPr>
          <w:rFonts w:asciiTheme="minorHAnsi" w:hAnsiTheme="minorHAnsi"/>
          <w:szCs w:val="22"/>
        </w:rPr>
        <w:t xml:space="preserve">. </w:t>
      </w:r>
    </w:p>
    <w:p w:rsidR="008E4BBA" w:rsidRPr="008E4BBA" w:rsidRDefault="00B10436" w:rsidP="00EC01FA">
      <w:pPr>
        <w:spacing w:before="120" w:after="120" w:line="240" w:lineRule="auto"/>
        <w:jc w:val="center"/>
        <w:rPr>
          <w:b/>
          <w:sz w:val="36"/>
        </w:rPr>
      </w:pPr>
      <w:r>
        <w:sym w:font="Wingdings" w:char="F0E8"/>
      </w:r>
      <w:r w:rsidR="0085262C">
        <w:t xml:space="preserve"> </w:t>
      </w:r>
      <w:hyperlink r:id="rId8" w:history="1">
        <w:r w:rsidR="0085262C" w:rsidRPr="00C72C9F">
          <w:rPr>
            <w:rStyle w:val="Lienhypertexte"/>
            <w:b/>
            <w:sz w:val="36"/>
          </w:rPr>
          <w:t>www.ofgl-capsur.fr</w:t>
        </w:r>
      </w:hyperlink>
    </w:p>
    <w:p w:rsidR="001C13E4" w:rsidRDefault="001C13E4" w:rsidP="00EC01FA">
      <w:pPr>
        <w:spacing w:before="120" w:after="120" w:line="240" w:lineRule="auto"/>
        <w:jc w:val="center"/>
        <w:rPr>
          <w:b/>
          <w:i/>
          <w:sz w:val="20"/>
          <w:szCs w:val="18"/>
        </w:rPr>
      </w:pPr>
      <w:r w:rsidRPr="001C13E4">
        <w:rPr>
          <w:b/>
          <w:i/>
          <w:noProof/>
          <w:sz w:val="20"/>
          <w:szCs w:val="18"/>
          <w:lang w:eastAsia="fr-FR"/>
        </w:rPr>
        <w:drawing>
          <wp:inline distT="0" distB="0" distL="0" distR="0" wp14:anchorId="7D939DEA" wp14:editId="231E2201">
            <wp:extent cx="4759445" cy="2560320"/>
            <wp:effectExtent l="19050" t="19050" r="22225" b="11430"/>
            <wp:docPr id="18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684"/>
                    <a:stretch/>
                  </pic:blipFill>
                  <pic:spPr bwMode="auto">
                    <a:xfrm>
                      <a:off x="0" y="0"/>
                      <a:ext cx="4832668" cy="25997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F3FD1" w:rsidRDefault="008F3FD1" w:rsidP="00EC01FA">
      <w:pPr>
        <w:spacing w:before="120" w:after="120" w:line="240" w:lineRule="auto"/>
        <w:jc w:val="center"/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t>*****</w:t>
      </w:r>
    </w:p>
    <w:p w:rsidR="001C13E4" w:rsidRDefault="001C13E4" w:rsidP="00EC01FA">
      <w:pPr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br w:type="page"/>
      </w:r>
    </w:p>
    <w:p w:rsidR="00A77198" w:rsidRDefault="00A77198" w:rsidP="00B10436">
      <w:pPr>
        <w:spacing w:before="120" w:after="120" w:line="240" w:lineRule="auto"/>
        <w:jc w:val="both"/>
        <w:rPr>
          <w:b/>
          <w:i/>
          <w:sz w:val="20"/>
          <w:szCs w:val="18"/>
        </w:rPr>
      </w:pPr>
    </w:p>
    <w:p w:rsidR="008F3FD1" w:rsidRPr="00B10436" w:rsidRDefault="008F3FD1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b/>
          <w:i/>
        </w:rPr>
      </w:pPr>
      <w:r w:rsidRPr="00B10436">
        <w:rPr>
          <w:b/>
          <w:i/>
        </w:rPr>
        <w:t>L’OFG</w:t>
      </w:r>
      <w:r w:rsidR="008E4BBA" w:rsidRPr="00B10436">
        <w:rPr>
          <w:b/>
          <w:i/>
        </w:rPr>
        <w:t>L</w:t>
      </w:r>
      <w:r w:rsidRPr="00B10436">
        <w:rPr>
          <w:b/>
          <w:i/>
        </w:rPr>
        <w:t xml:space="preserve"> en quelques lignes…</w:t>
      </w:r>
    </w:p>
    <w:p w:rsidR="00581FF9" w:rsidRPr="00B10436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</w:rPr>
      </w:pPr>
      <w:r w:rsidRPr="00B10436">
        <w:rPr>
          <w:i/>
        </w:rPr>
        <w:t>L’Observatoire des Finances et de la Gestion publique Locales (OFGL) a été créé en 2016 par la loi NOTRe</w:t>
      </w:r>
      <w:r w:rsidR="00950C9D" w:rsidRPr="00B10436">
        <w:rPr>
          <w:i/>
        </w:rPr>
        <w:t>. Il</w:t>
      </w:r>
      <w:r w:rsidRPr="00B10436">
        <w:rPr>
          <w:i/>
        </w:rPr>
        <w:t xml:space="preserve"> remplace l’Observatoire des Finances Locales.</w:t>
      </w:r>
    </w:p>
    <w:p w:rsidR="00581FF9" w:rsidRPr="00B10436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</w:rPr>
      </w:pPr>
      <w:r w:rsidRPr="00B10436">
        <w:rPr>
          <w:i/>
        </w:rPr>
        <w:t xml:space="preserve">Présidé par le </w:t>
      </w:r>
      <w:r w:rsidRPr="007B4033">
        <w:rPr>
          <w:b/>
          <w:i/>
        </w:rPr>
        <w:t>Président du Comité des Finances Locales</w:t>
      </w:r>
      <w:r w:rsidRPr="00B10436">
        <w:rPr>
          <w:i/>
        </w:rPr>
        <w:t>, André Laignel, l’Observatoire voit ses compétences élargies. Lieu de partage et de réflexion entre les différentes parties prenantes, il a pour mission d’</w:t>
      </w:r>
      <w:r w:rsidRPr="007B4033">
        <w:rPr>
          <w:b/>
          <w:i/>
        </w:rPr>
        <w:t>établir, de collecter, d’analyser et de diffuser des informations</w:t>
      </w:r>
      <w:r w:rsidRPr="00B10436">
        <w:rPr>
          <w:i/>
        </w:rPr>
        <w:t xml:space="preserve"> portant sur la gestion des collectivités territoriales.</w:t>
      </w:r>
    </w:p>
    <w:p w:rsidR="00581FF9" w:rsidRPr="00B10436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</w:rPr>
      </w:pPr>
      <w:r w:rsidRPr="00B10436">
        <w:rPr>
          <w:i/>
        </w:rPr>
        <w:t xml:space="preserve">L’Observatoire intervient sur des thématiques diverses, répondant aux demandes formulées par son </w:t>
      </w:r>
      <w:r w:rsidRPr="007B4033">
        <w:rPr>
          <w:b/>
          <w:i/>
        </w:rPr>
        <w:t>Conseil d’orientation</w:t>
      </w:r>
      <w:r w:rsidRPr="00B10436">
        <w:rPr>
          <w:i/>
        </w:rPr>
        <w:t xml:space="preserve"> composé d’élus et de représentants de l’Etat. Ses </w:t>
      </w:r>
      <w:r w:rsidRPr="007B4033">
        <w:rPr>
          <w:b/>
          <w:i/>
        </w:rPr>
        <w:t>premiers chantiers</w:t>
      </w:r>
      <w:r w:rsidRPr="00B10436">
        <w:rPr>
          <w:i/>
        </w:rPr>
        <w:t xml:space="preserve"> sont : le lancement d’une étude en vue de la création d’une plateforme de données partagées ; l’analyse des dépenses d’i</w:t>
      </w:r>
      <w:r w:rsidR="00F93FDD">
        <w:rPr>
          <w:i/>
        </w:rPr>
        <w:t>nvestissement des collectivités </w:t>
      </w:r>
      <w:r w:rsidRPr="00B10436">
        <w:rPr>
          <w:i/>
        </w:rPr>
        <w:t>; l’analyse des exonérations, dégrève</w:t>
      </w:r>
      <w:r w:rsidR="00F93FDD">
        <w:rPr>
          <w:i/>
        </w:rPr>
        <w:t>ments et compensations fiscales </w:t>
      </w:r>
      <w:r w:rsidRPr="00B10436">
        <w:rPr>
          <w:i/>
        </w:rPr>
        <w:t>; la modernisation des indicateurs de ressources et charges.</w:t>
      </w:r>
    </w:p>
    <w:p w:rsidR="00581FF9" w:rsidRPr="00B10436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</w:rPr>
      </w:pPr>
      <w:r w:rsidRPr="00B10436">
        <w:rPr>
          <w:i/>
        </w:rPr>
        <w:t xml:space="preserve">Par ailleurs, l’Observatoire publie chaque année un </w:t>
      </w:r>
      <w:r w:rsidRPr="007B4033">
        <w:rPr>
          <w:b/>
          <w:i/>
        </w:rPr>
        <w:t>rapport annuel</w:t>
      </w:r>
      <w:r w:rsidRPr="00B10436">
        <w:rPr>
          <w:i/>
        </w:rPr>
        <w:t xml:space="preserve"> réalisé par les équipes de la DGCL</w:t>
      </w:r>
      <w:r w:rsidR="00950C9D" w:rsidRPr="00B10436">
        <w:rPr>
          <w:i/>
        </w:rPr>
        <w:t>. Il</w:t>
      </w:r>
      <w:r w:rsidRPr="00B10436">
        <w:rPr>
          <w:i/>
        </w:rPr>
        <w:t xml:space="preserve"> constitue, depuis plus de 20 ans, une référence en matière d’informations financières et fiscales sur le secteur public local.</w:t>
      </w:r>
    </w:p>
    <w:p w:rsidR="00581FF9" w:rsidRPr="00B10436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</w:rPr>
      </w:pPr>
      <w:r w:rsidRPr="00B10436">
        <w:rPr>
          <w:i/>
        </w:rPr>
        <w:t xml:space="preserve">L’OFGL s’appuie sur l’expertise des membres de son </w:t>
      </w:r>
      <w:r w:rsidRPr="007B4033">
        <w:rPr>
          <w:b/>
          <w:i/>
        </w:rPr>
        <w:t xml:space="preserve">Comité </w:t>
      </w:r>
      <w:r w:rsidR="004F6F21">
        <w:rPr>
          <w:b/>
          <w:i/>
        </w:rPr>
        <w:t xml:space="preserve">scientifique et </w:t>
      </w:r>
      <w:r w:rsidRPr="007B4033">
        <w:rPr>
          <w:b/>
          <w:i/>
        </w:rPr>
        <w:t>technique</w:t>
      </w:r>
      <w:r w:rsidRPr="00B10436">
        <w:rPr>
          <w:i/>
        </w:rPr>
        <w:t>. Il est composé d’administrations centrales et organismes publics (CGET, CNFPT, Cour des comptes/CRC, Dir. du Budget, DGCL, DGFiP, DG Trésor, IG, INSEE,</w:t>
      </w:r>
      <w:r w:rsidR="00AC38C5" w:rsidRPr="00B10436">
        <w:rPr>
          <w:i/>
        </w:rPr>
        <w:t>.</w:t>
      </w:r>
      <w:r w:rsidRPr="00B10436">
        <w:rPr>
          <w:i/>
        </w:rPr>
        <w:t>..), d’associations d’élus (</w:t>
      </w:r>
      <w:proofErr w:type="spellStart"/>
      <w:r w:rsidRPr="00B10436">
        <w:rPr>
          <w:i/>
        </w:rPr>
        <w:t>AdCF</w:t>
      </w:r>
      <w:proofErr w:type="spellEnd"/>
      <w:r w:rsidRPr="00B10436">
        <w:rPr>
          <w:i/>
        </w:rPr>
        <w:t>, ADF, AMF, AMRF, APVF, France Urbaine, Régions de France, Villes de France), d’associations d’agents de la FPT (AATF, ADT-INET, AITF, AFIGESE, SNDGCT) et de personnalités qualifiées (universitaires, administrateurs territoriaux et experts).</w:t>
      </w:r>
    </w:p>
    <w:p w:rsidR="00890ADA" w:rsidRPr="00B10436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</w:rPr>
      </w:pPr>
      <w:r w:rsidRPr="00B10436">
        <w:rPr>
          <w:i/>
        </w:rPr>
        <w:t>Il dispose, pour coordonner les acteurs et réaliser des études spécifiques, d’une équipe de quatre personnes, un secrétaire général et trois chargés de missions.</w:t>
      </w:r>
    </w:p>
    <w:p w:rsidR="00581FF9" w:rsidRPr="007B4033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  <w:sz w:val="24"/>
        </w:rPr>
      </w:pPr>
      <w:r w:rsidRPr="007B4033">
        <w:rPr>
          <w:i/>
          <w:sz w:val="24"/>
        </w:rPr>
        <w:t>Site :</w:t>
      </w:r>
      <w:r w:rsidR="00752EB1" w:rsidRPr="007B4033">
        <w:rPr>
          <w:i/>
          <w:sz w:val="24"/>
        </w:rPr>
        <w:t xml:space="preserve"> </w:t>
      </w:r>
      <w:hyperlink r:id="rId11" w:history="1">
        <w:r w:rsidR="007B4033" w:rsidRPr="007B4033">
          <w:rPr>
            <w:rStyle w:val="Lienhypertexte"/>
            <w:i/>
            <w:sz w:val="24"/>
          </w:rPr>
          <w:t>www.collectivites-locales.gouv.fr/ofgl</w:t>
        </w:r>
      </w:hyperlink>
    </w:p>
    <w:p w:rsidR="007B4033" w:rsidRDefault="0085262C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  <w:lang w:val="en-US"/>
        </w:rPr>
      </w:pPr>
      <w:proofErr w:type="gramStart"/>
      <w:r w:rsidRPr="00B10436">
        <w:rPr>
          <w:i/>
          <w:lang w:val="en-US"/>
        </w:rPr>
        <w:t>LinkedIn</w:t>
      </w:r>
      <w:r w:rsidR="00752EB1" w:rsidRPr="00B10436">
        <w:rPr>
          <w:i/>
          <w:lang w:val="en-US"/>
        </w:rPr>
        <w:t> :</w:t>
      </w:r>
      <w:proofErr w:type="gramEnd"/>
      <w:r w:rsidR="00752EB1" w:rsidRPr="00B10436">
        <w:rPr>
          <w:i/>
          <w:lang w:val="en-US"/>
        </w:rPr>
        <w:t xml:space="preserve"> </w:t>
      </w:r>
      <w:hyperlink r:id="rId12" w:history="1">
        <w:r w:rsidR="007B4033" w:rsidRPr="00FC6BB3">
          <w:rPr>
            <w:rStyle w:val="Lienhypertexte"/>
            <w:i/>
            <w:lang w:val="en-US"/>
          </w:rPr>
          <w:t>www.linkedin.com/company/ofgl</w:t>
        </w:r>
      </w:hyperlink>
    </w:p>
    <w:p w:rsidR="00581FF9" w:rsidRPr="007B4033" w:rsidRDefault="00581FF9" w:rsidP="00B10436">
      <w:pPr>
        <w:pBdr>
          <w:top w:val="single" w:sz="8" w:space="1" w:color="7F7F7F" w:themeColor="text1" w:themeTint="80"/>
          <w:left w:val="single" w:sz="8" w:space="4" w:color="7F7F7F" w:themeColor="text1" w:themeTint="80"/>
          <w:bottom w:val="single" w:sz="8" w:space="1" w:color="7F7F7F" w:themeColor="text1" w:themeTint="80"/>
          <w:right w:val="single" w:sz="8" w:space="4" w:color="7F7F7F" w:themeColor="text1" w:themeTint="80"/>
        </w:pBdr>
        <w:spacing w:before="120" w:after="120" w:line="240" w:lineRule="auto"/>
        <w:jc w:val="both"/>
        <w:rPr>
          <w:i/>
          <w:lang w:val="en-US"/>
        </w:rPr>
      </w:pPr>
      <w:proofErr w:type="gramStart"/>
      <w:r w:rsidRPr="007B4033">
        <w:rPr>
          <w:i/>
          <w:lang w:val="en-US"/>
        </w:rPr>
        <w:t>Contact :</w:t>
      </w:r>
      <w:proofErr w:type="gramEnd"/>
      <w:r w:rsidRPr="007B4033">
        <w:rPr>
          <w:i/>
          <w:lang w:val="en-US"/>
        </w:rPr>
        <w:t xml:space="preserve"> contact@ofgl.fr</w:t>
      </w:r>
    </w:p>
    <w:p w:rsidR="00F44417" w:rsidRPr="007B4033" w:rsidRDefault="00F44417" w:rsidP="00B10436">
      <w:pPr>
        <w:spacing w:before="120" w:after="120" w:line="240" w:lineRule="auto"/>
        <w:jc w:val="both"/>
        <w:rPr>
          <w:lang w:val="en-US"/>
        </w:rPr>
      </w:pPr>
    </w:p>
    <w:sectPr w:rsidR="00F44417" w:rsidRPr="007B4033" w:rsidSect="008F3FD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E2" w:rsidRDefault="004F6AE2" w:rsidP="004F6AE2">
      <w:pPr>
        <w:spacing w:after="0" w:line="240" w:lineRule="auto"/>
      </w:pPr>
      <w:r>
        <w:separator/>
      </w:r>
    </w:p>
  </w:endnote>
  <w:endnote w:type="continuationSeparator" w:id="0">
    <w:p w:rsidR="004F6AE2" w:rsidRDefault="004F6AE2" w:rsidP="004F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17" w:rsidRPr="00BC6A63" w:rsidRDefault="00F44417" w:rsidP="00F44417">
    <w:pPr>
      <w:spacing w:after="0" w:line="240" w:lineRule="auto"/>
      <w:rPr>
        <w:rFonts w:cs="Arial"/>
        <w:b/>
        <w:bCs/>
        <w:color w:val="595959"/>
        <w:lang w:eastAsia="fr-FR"/>
      </w:rPr>
    </w:pPr>
    <w:r w:rsidRPr="00BC6A63">
      <w:rPr>
        <w:rFonts w:cs="Arial"/>
        <w:b/>
        <w:bCs/>
        <w:color w:val="595959"/>
        <w:lang w:eastAsia="fr-FR"/>
      </w:rPr>
      <w:t>Observatoire des Finances et de la Gestion publique Locales</w:t>
    </w:r>
  </w:p>
  <w:p w:rsidR="00F44417" w:rsidRPr="00F44417" w:rsidRDefault="00F44417" w:rsidP="00F44417">
    <w:pPr>
      <w:tabs>
        <w:tab w:val="right" w:pos="9072"/>
      </w:tabs>
      <w:spacing w:after="0" w:line="240" w:lineRule="auto"/>
      <w:rPr>
        <w:rFonts w:cs="Arial"/>
        <w:color w:val="595959"/>
        <w:lang w:eastAsia="fr-FR"/>
      </w:rPr>
    </w:pPr>
    <w:r w:rsidRPr="00BC6A63">
      <w:rPr>
        <w:rFonts w:cs="Arial"/>
        <w:color w:val="595959"/>
        <w:lang w:eastAsia="fr-FR"/>
      </w:rPr>
      <w:t>120 rue de Bercy - T733</w:t>
    </w:r>
    <w:r>
      <w:rPr>
        <w:rFonts w:cs="Arial"/>
        <w:color w:val="595959"/>
        <w:lang w:eastAsia="fr-FR"/>
      </w:rPr>
      <w:t xml:space="preserve"> -</w:t>
    </w:r>
    <w:r w:rsidRPr="00BC6A63">
      <w:rPr>
        <w:rFonts w:cs="Arial"/>
        <w:color w:val="595959"/>
        <w:lang w:eastAsia="fr-FR"/>
      </w:rPr>
      <w:t>75512 Paris cedex 12</w:t>
    </w:r>
    <w:r>
      <w:rPr>
        <w:rFonts w:cs="Arial"/>
        <w:color w:val="595959"/>
        <w:lang w:eastAsia="fr-FR"/>
      </w:rPr>
      <w:t xml:space="preserve"> </w:t>
    </w:r>
    <w:r>
      <w:rPr>
        <w:rFonts w:cs="Arial"/>
        <w:color w:val="595959"/>
        <w:lang w:eastAsia="fr-FR"/>
      </w:rPr>
      <w:tab/>
      <w:t>contact@ofgl.fr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E2" w:rsidRDefault="004F6AE2" w:rsidP="004F6AE2">
      <w:pPr>
        <w:spacing w:after="0" w:line="240" w:lineRule="auto"/>
      </w:pPr>
      <w:r>
        <w:separator/>
      </w:r>
    </w:p>
  </w:footnote>
  <w:footnote w:type="continuationSeparator" w:id="0">
    <w:p w:rsidR="004F6AE2" w:rsidRDefault="004F6AE2" w:rsidP="004F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E2" w:rsidRDefault="004F6AE2">
    <w:pPr>
      <w:pStyle w:val="En-tte"/>
    </w:pPr>
    <w:r>
      <w:rPr>
        <w:noProof/>
        <w:lang w:eastAsia="fr-FR"/>
      </w:rPr>
      <w:drawing>
        <wp:inline distT="0" distB="0" distL="0" distR="0" wp14:anchorId="6387D8DE" wp14:editId="6D979A15">
          <wp:extent cx="2133600" cy="74358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SQUIER Benjamin">
    <w15:presenceInfo w15:providerId="AD" w15:userId="S-1-5-21-206726183-3772195486-503127376-5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16"/>
    <w:rsid w:val="00001B3C"/>
    <w:rsid w:val="000674DE"/>
    <w:rsid w:val="00095480"/>
    <w:rsid w:val="000E23AB"/>
    <w:rsid w:val="00102161"/>
    <w:rsid w:val="00146DD6"/>
    <w:rsid w:val="00154BEF"/>
    <w:rsid w:val="0016662B"/>
    <w:rsid w:val="001C13E4"/>
    <w:rsid w:val="002442EC"/>
    <w:rsid w:val="00267EB4"/>
    <w:rsid w:val="002A54C6"/>
    <w:rsid w:val="002B390C"/>
    <w:rsid w:val="002F4B79"/>
    <w:rsid w:val="0031174A"/>
    <w:rsid w:val="00332DC2"/>
    <w:rsid w:val="00374E08"/>
    <w:rsid w:val="003F07AE"/>
    <w:rsid w:val="00434FF5"/>
    <w:rsid w:val="004952D5"/>
    <w:rsid w:val="004A789D"/>
    <w:rsid w:val="004B6917"/>
    <w:rsid w:val="004F6AE2"/>
    <w:rsid w:val="004F6F21"/>
    <w:rsid w:val="005812F8"/>
    <w:rsid w:val="00581FF9"/>
    <w:rsid w:val="005B33FE"/>
    <w:rsid w:val="00615FDC"/>
    <w:rsid w:val="00620CE1"/>
    <w:rsid w:val="006869C3"/>
    <w:rsid w:val="006969A7"/>
    <w:rsid w:val="006B1CB0"/>
    <w:rsid w:val="007235CF"/>
    <w:rsid w:val="00731A9C"/>
    <w:rsid w:val="00752EB1"/>
    <w:rsid w:val="00762B45"/>
    <w:rsid w:val="0077302C"/>
    <w:rsid w:val="0078369D"/>
    <w:rsid w:val="00794B9D"/>
    <w:rsid w:val="007B4033"/>
    <w:rsid w:val="007D46F6"/>
    <w:rsid w:val="007F7743"/>
    <w:rsid w:val="008071D0"/>
    <w:rsid w:val="00821058"/>
    <w:rsid w:val="00841C73"/>
    <w:rsid w:val="0085262C"/>
    <w:rsid w:val="00875D2E"/>
    <w:rsid w:val="00880FEC"/>
    <w:rsid w:val="00890ADA"/>
    <w:rsid w:val="008E4BBA"/>
    <w:rsid w:val="008F3FD1"/>
    <w:rsid w:val="00901500"/>
    <w:rsid w:val="0091503A"/>
    <w:rsid w:val="009257A3"/>
    <w:rsid w:val="00950C9D"/>
    <w:rsid w:val="009B06C8"/>
    <w:rsid w:val="009D165F"/>
    <w:rsid w:val="009D3AEE"/>
    <w:rsid w:val="00A3542D"/>
    <w:rsid w:val="00A667E4"/>
    <w:rsid w:val="00A77198"/>
    <w:rsid w:val="00A90D7A"/>
    <w:rsid w:val="00AB78DC"/>
    <w:rsid w:val="00AC38C5"/>
    <w:rsid w:val="00AE6E10"/>
    <w:rsid w:val="00AF086A"/>
    <w:rsid w:val="00B10436"/>
    <w:rsid w:val="00B30DB9"/>
    <w:rsid w:val="00B367A8"/>
    <w:rsid w:val="00B82813"/>
    <w:rsid w:val="00B834D2"/>
    <w:rsid w:val="00BA2E6B"/>
    <w:rsid w:val="00BC2264"/>
    <w:rsid w:val="00BC6A63"/>
    <w:rsid w:val="00C0138C"/>
    <w:rsid w:val="00C137DE"/>
    <w:rsid w:val="00C175CB"/>
    <w:rsid w:val="00C505C0"/>
    <w:rsid w:val="00C62AC2"/>
    <w:rsid w:val="00C633EF"/>
    <w:rsid w:val="00C67710"/>
    <w:rsid w:val="00C971F7"/>
    <w:rsid w:val="00D32105"/>
    <w:rsid w:val="00D365CA"/>
    <w:rsid w:val="00D8152B"/>
    <w:rsid w:val="00D91020"/>
    <w:rsid w:val="00DD3448"/>
    <w:rsid w:val="00DE13C2"/>
    <w:rsid w:val="00E03C0F"/>
    <w:rsid w:val="00E05EE3"/>
    <w:rsid w:val="00EC01FA"/>
    <w:rsid w:val="00EE4BFA"/>
    <w:rsid w:val="00EF72AA"/>
    <w:rsid w:val="00F421B5"/>
    <w:rsid w:val="00F44417"/>
    <w:rsid w:val="00F60665"/>
    <w:rsid w:val="00F81116"/>
    <w:rsid w:val="00F84DDB"/>
    <w:rsid w:val="00F93FDD"/>
    <w:rsid w:val="00F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1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E2"/>
  </w:style>
  <w:style w:type="paragraph" w:styleId="Pieddepage">
    <w:name w:val="footer"/>
    <w:basedOn w:val="Normal"/>
    <w:link w:val="PieddepageCar"/>
    <w:uiPriority w:val="99"/>
    <w:unhideWhenUsed/>
    <w:rsid w:val="004F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E2"/>
  </w:style>
  <w:style w:type="paragraph" w:styleId="NormalWeb">
    <w:name w:val="Normal (Web)"/>
    <w:basedOn w:val="Normal"/>
    <w:uiPriority w:val="99"/>
    <w:semiHidden/>
    <w:unhideWhenUsed/>
    <w:rsid w:val="00F4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4417"/>
    <w:rPr>
      <w:b/>
      <w:bCs/>
    </w:rPr>
  </w:style>
  <w:style w:type="character" w:styleId="Lienhypertexte">
    <w:name w:val="Hyperlink"/>
    <w:basedOn w:val="Policepardfaut"/>
    <w:uiPriority w:val="99"/>
    <w:unhideWhenUsed/>
    <w:rsid w:val="008E4BB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969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69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69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69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69A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B4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1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E2"/>
  </w:style>
  <w:style w:type="paragraph" w:styleId="Pieddepage">
    <w:name w:val="footer"/>
    <w:basedOn w:val="Normal"/>
    <w:link w:val="PieddepageCar"/>
    <w:uiPriority w:val="99"/>
    <w:unhideWhenUsed/>
    <w:rsid w:val="004F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E2"/>
  </w:style>
  <w:style w:type="paragraph" w:styleId="NormalWeb">
    <w:name w:val="Normal (Web)"/>
    <w:basedOn w:val="Normal"/>
    <w:uiPriority w:val="99"/>
    <w:semiHidden/>
    <w:unhideWhenUsed/>
    <w:rsid w:val="00F4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4417"/>
    <w:rPr>
      <w:b/>
      <w:bCs/>
    </w:rPr>
  </w:style>
  <w:style w:type="character" w:styleId="Lienhypertexte">
    <w:name w:val="Hyperlink"/>
    <w:basedOn w:val="Policepardfaut"/>
    <w:uiPriority w:val="99"/>
    <w:unhideWhenUsed/>
    <w:rsid w:val="008E4BB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969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69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69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69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69A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B4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gl-capsur.f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ofg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ectivites-locales.gouv.fr/ofg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fgl-capsur.f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4E23-2615-46D6-AD7D-F61E88CA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Rougier</dc:creator>
  <cp:lastModifiedBy>Raphaël Menelon</cp:lastModifiedBy>
  <cp:revision>24</cp:revision>
  <cp:lastPrinted>2018-06-07T12:59:00Z</cp:lastPrinted>
  <dcterms:created xsi:type="dcterms:W3CDTF">2018-07-26T09:59:00Z</dcterms:created>
  <dcterms:modified xsi:type="dcterms:W3CDTF">2018-08-29T10:42:00Z</dcterms:modified>
</cp:coreProperties>
</file>